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tbl>
      <w:tblPr>
        <w:tblStyle w:val="Table1"/>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6525"/>
        <w:tblGridChange w:id="0">
          <w:tblGrid>
            <w:gridCol w:w="3405"/>
            <w:gridCol w:w="6525"/>
          </w:tblGrid>
        </w:tblGridChange>
      </w:tblGrid>
      <w:tr>
        <w:trPr>
          <w:trHeight w:val="8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ПІБ</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36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МІСЦЕ ПРОЖИВАННЯ ГРОМАДЯНИНА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ПОШТОВА / ЕЛЕКТРОННА АДРЕСА (обов’язково зазначається для електронного звернення) АБО ІНШІ ЗАСОБИ ЗВ’ЯЗКУ З ГРОМАДЯНИНОМ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телефону</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51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СУТЬ ПИТАННЯ</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грудня 2017 року я, як користувач мобільними послугами, котрі надаються ПрАТ “ВФ Україна”, код ЄДРПОУ: 14333937 (далі - Vodafone), отримав (-ла) смс-повідомлення від оператора з текстом, яким попереджено про зміну тарифу в односторонньому порядку від 09.01.2018 року з відповідним зростанням вартості послуг, що надаються. </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 повідомленням Vodafone ці дії стосуються лише користувачів, котрі перебувають або реєстрували свій номер (на контрактній чи безконтрактній основі) на території тимчасово непідконтрольній Україні. Конкретної, опублікованої інформації щодо кола осіб на які поширюються дані дії, способу їх фіксування- </w:t>
            </w:r>
            <w:r w:rsidDel="00000000" w:rsidR="00000000" w:rsidRPr="00000000">
              <w:rPr>
                <w:rFonts w:ascii="Times New Roman" w:cs="Times New Roman" w:eastAsia="Times New Roman" w:hAnsi="Times New Roman"/>
                <w:b w:val="1"/>
                <w:sz w:val="24"/>
                <w:szCs w:val="24"/>
                <w:rtl w:val="0"/>
              </w:rPr>
              <w:t xml:space="preserve">не надано.</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Звертаю Вашу увагу, що дії надавача телекомунікаційних послуг мають здійснюватись у відповідності до:</w:t>
            </w:r>
          </w:p>
          <w:p w:rsidR="00000000" w:rsidDel="00000000" w:rsidP="00000000" w:rsidRDefault="00000000" w:rsidRPr="0000000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п.14 ст. 39 Закону України “Про телекомунікації”</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оператор зобов’язаний оприлюднювати тарифи на телекомунікаційні послуги, що встановлюються самим оператором не пізніше, ніж за сім днів до його введення... “</w:t>
            </w:r>
          </w:p>
          <w:p w:rsidR="00000000" w:rsidDel="00000000" w:rsidP="00000000" w:rsidRDefault="00000000" w:rsidRPr="00000000">
            <w:pPr>
              <w:numPr>
                <w:ilvl w:val="0"/>
                <w:numId w:val="4"/>
              </w:numPr>
              <w:spacing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пункту 35 Правил надання та отримання телекомунікаційних послуг</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“споживачі під час замовлення </w:t>
            </w:r>
            <w:r w:rsidDel="00000000" w:rsidR="00000000" w:rsidRPr="00000000">
              <w:rPr>
                <w:rFonts w:ascii="Times New Roman" w:cs="Times New Roman" w:eastAsia="Times New Roman" w:hAnsi="Times New Roman"/>
                <w:b w:val="1"/>
                <w:i w:val="1"/>
                <w:sz w:val="24"/>
                <w:szCs w:val="24"/>
                <w:highlight w:val="white"/>
                <w:rtl w:val="0"/>
              </w:rPr>
              <w:t xml:space="preserve">та/або отримання послуг мають право</w:t>
            </w:r>
            <w:r w:rsidDel="00000000" w:rsidR="00000000" w:rsidRPr="00000000">
              <w:rPr>
                <w:rFonts w:ascii="Times New Roman" w:cs="Times New Roman" w:eastAsia="Times New Roman" w:hAnsi="Times New Roman"/>
                <w:i w:val="1"/>
                <w:sz w:val="24"/>
                <w:szCs w:val="24"/>
                <w:highlight w:val="white"/>
                <w:rtl w:val="0"/>
              </w:rPr>
              <w:t xml:space="preserve"> на своєчасне і якісне одержання послуг, </w:t>
            </w:r>
            <w:r w:rsidDel="00000000" w:rsidR="00000000" w:rsidRPr="00000000">
              <w:rPr>
                <w:rFonts w:ascii="Times New Roman" w:cs="Times New Roman" w:eastAsia="Times New Roman" w:hAnsi="Times New Roman"/>
                <w:b w:val="1"/>
                <w:i w:val="1"/>
                <w:sz w:val="24"/>
                <w:szCs w:val="24"/>
                <w:highlight w:val="white"/>
                <w:rtl w:val="0"/>
              </w:rPr>
              <w:t xml:space="preserve">вибір тарифу, </w:t>
            </w:r>
            <w:r w:rsidDel="00000000" w:rsidR="00000000" w:rsidRPr="00000000">
              <w:rPr>
                <w:rFonts w:ascii="Times New Roman" w:cs="Times New Roman" w:eastAsia="Times New Roman" w:hAnsi="Times New Roman"/>
                <w:i w:val="1"/>
                <w:sz w:val="24"/>
                <w:szCs w:val="24"/>
                <w:highlight w:val="white"/>
                <w:rtl w:val="0"/>
              </w:rPr>
              <w:t xml:space="preserve">тарифного плану, встановленого оператором, провайдером, оскарження неправомірних дій оператора, провайдера шляхом звернення до суду та уповноважених державних органів.</w:t>
            </w:r>
          </w:p>
          <w:p w:rsidR="00000000" w:rsidDel="00000000" w:rsidP="00000000" w:rsidRDefault="00000000" w:rsidRPr="00000000">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пункту </w:t>
            </w:r>
            <w:r w:rsidDel="00000000" w:rsidR="00000000" w:rsidRPr="00000000">
              <w:rPr>
                <w:rFonts w:ascii="Times New Roman" w:cs="Times New Roman" w:eastAsia="Times New Roman" w:hAnsi="Times New Roman"/>
                <w:sz w:val="24"/>
                <w:szCs w:val="24"/>
                <w:rtl w:val="0"/>
              </w:rPr>
              <w:t xml:space="preserve">39 Правил надання та отримання телекомунікаційних послуг </w:t>
            </w:r>
            <w:r w:rsidDel="00000000" w:rsidR="00000000" w:rsidRPr="00000000">
              <w:rPr>
                <w:rFonts w:ascii="Times New Roman" w:cs="Times New Roman" w:eastAsia="Times New Roman" w:hAnsi="Times New Roman"/>
                <w:sz w:val="24"/>
                <w:szCs w:val="24"/>
                <w:highlight w:val="white"/>
                <w:rtl w:val="0"/>
              </w:rPr>
              <w:t xml:space="preserve"> оператори</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“..провайдери </w:t>
            </w:r>
            <w:r w:rsidDel="00000000" w:rsidR="00000000" w:rsidRPr="00000000">
              <w:rPr>
                <w:rFonts w:ascii="Times New Roman" w:cs="Times New Roman" w:eastAsia="Times New Roman" w:hAnsi="Times New Roman"/>
                <w:b w:val="1"/>
                <w:i w:val="1"/>
                <w:sz w:val="24"/>
                <w:szCs w:val="24"/>
                <w:highlight w:val="white"/>
                <w:rtl w:val="0"/>
              </w:rPr>
              <w:t xml:space="preserve">зобов’язані надавати відповідно до законодавства споживачам можливість обирати альтернативного оператора, обирати та отримувати послуги, в тому числі за різними класами якості</w:t>
            </w:r>
            <w:r w:rsidDel="00000000" w:rsidR="00000000" w:rsidRPr="00000000">
              <w:rPr>
                <w:rFonts w:ascii="Times New Roman" w:cs="Times New Roman" w:eastAsia="Times New Roman" w:hAnsi="Times New Roman"/>
                <w:i w:val="1"/>
                <w:sz w:val="24"/>
                <w:szCs w:val="24"/>
                <w:highlight w:val="white"/>
                <w:rtl w:val="0"/>
              </w:rPr>
              <w:t xml:space="preserve">, у власній телекомунікаційній мережі або мережі іншого оператора. У випадку зміни умов надання послуг чи зміни тарифів, тарифних планів на послуги (пакети послуг), що надаються споживачеві, </w:t>
            </w:r>
            <w:r w:rsidDel="00000000" w:rsidR="00000000" w:rsidRPr="00000000">
              <w:rPr>
                <w:rFonts w:ascii="Times New Roman" w:cs="Times New Roman" w:eastAsia="Times New Roman" w:hAnsi="Times New Roman"/>
                <w:b w:val="1"/>
                <w:i w:val="1"/>
                <w:sz w:val="24"/>
                <w:szCs w:val="24"/>
                <w:highlight w:val="white"/>
                <w:rtl w:val="0"/>
              </w:rPr>
              <w:t xml:space="preserve">оператор телекомунікацій повинен запропонувати споживачеві безоплатно обрати будь-який інший доступний для підключення тарифний план</w:t>
            </w:r>
            <w:r w:rsidDel="00000000" w:rsidR="00000000" w:rsidRPr="00000000">
              <w:rPr>
                <w:rFonts w:ascii="Times New Roman" w:cs="Times New Roman" w:eastAsia="Times New Roman" w:hAnsi="Times New Roman"/>
                <w:i w:val="1"/>
                <w:sz w:val="24"/>
                <w:szCs w:val="24"/>
                <w:highlight w:val="white"/>
                <w:rtl w:val="0"/>
              </w:rPr>
              <w:t xml:space="preserve"> на момент запровадження зазначених змін.”</w:t>
            </w:r>
          </w:p>
          <w:p w:rsidR="00000000" w:rsidDel="00000000" w:rsidP="00000000" w:rsidRDefault="00000000" w:rsidRPr="00000000">
            <w:pPr>
              <w:spacing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 зазначеному вищевипадку надавачем телекомунікаційних послуг “Vodafone” не дотримано умов щодо:</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Надання безоплатної пропозиції вибору альтернативного тарифу плану для підключення.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 повідомленням оператора всі користувачі будуть переведеними на єдиний тариф - тариф “Стандарт”. Альтернатива вибору іншого тарифного плану відсутня.</w:t>
            </w:r>
          </w:p>
          <w:p w:rsidR="00000000" w:rsidDel="00000000" w:rsidP="00000000" w:rsidRDefault="00000000" w:rsidRPr="00000000">
            <w:pPr>
              <w:numPr>
                <w:ilvl w:val="0"/>
                <w:numId w:val="2"/>
              </w:numPr>
              <w:ind w:left="720" w:hanging="36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оприлюднення належним чином тарифів на послуги.</w:t>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rtl w:val="0"/>
              </w:rPr>
              <w:t xml:space="preserve">Направлення смс-повідомлень широкому колу осіб (повідомлення були отримані в тому числі особам, які проживають в інших ніж тимчасово непідконтрольні території регіонах та є внутрішньо переміщеними особами) не можна вважати належним повідомленням. Інформація на інших загальнодоступних ресурсах (у т.ч. на власному веб-сайті, у засобах масової інформації тощо) -  відсутня. </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rtl w:val="0"/>
              </w:rPr>
              <w:t xml:space="preserve">Зважаючи на це, вважаю, що дані дії порушують мої права користувача послугами мобільного оператора, а також норм діючого антимонопольного законодавства, законодавства, що регулює надання телекомунікаційних послуг та прав споживачів</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Звертаємо також вашу увагу, що:</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Відповідно до п. 1, 2 ч. 2 ст. 13 ЗУ “Про захист економічної конкуренції”, зловживанням монопольним (домінуючим) становище на ринку, зокрема, визнається: </w:t>
            </w:r>
            <w:r w:rsidDel="00000000" w:rsidR="00000000" w:rsidRPr="00000000">
              <w:rPr>
                <w:rFonts w:ascii="Times New Roman" w:cs="Times New Roman" w:eastAsia="Times New Roman" w:hAnsi="Times New Roman"/>
                <w:sz w:val="24"/>
                <w:szCs w:val="24"/>
                <w:highlight w:val="white"/>
                <w:rtl w:val="0"/>
              </w:rPr>
              <w:t xml:space="preserve">встановлення  таких  цін  чи  інших  умов  придбання   або реалізації  товару,  які  неможливо  було  б  встановити  за  умов існування значної конкуренції на ринку; застосування  різних  цін  чи   різних   інших   умов   до рівнозначних  угод  з  суб'єктами       господарювання,  продавцями  чи покупцями без об'єктивно виправданих на те причин.</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Згідно зі ст. 50  ЗУ “Про захист економічної конкуренції”, порушенням законодавства про захист економічної конкуренції є зловживання монопольним (домінуючим) становищем. Такі дії караються згідно зі ст. 166-1 Кодексу України про адміністративні правопорушення “</w:t>
            </w:r>
            <w:r w:rsidDel="00000000" w:rsidR="00000000" w:rsidRPr="00000000">
              <w:rPr>
                <w:rFonts w:ascii="Times New Roman" w:cs="Times New Roman" w:eastAsia="Times New Roman" w:hAnsi="Times New Roman"/>
                <w:sz w:val="24"/>
                <w:szCs w:val="24"/>
                <w:highlight w:val="white"/>
                <w:rtl w:val="0"/>
              </w:rPr>
              <w:t xml:space="preserve">Зловживання монопольним становищем на ринку”:</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360"/>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4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ДАТА ЗВЕРНЕННЯ</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rPr>
          <w:trHeight w:val="12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ПІБ особи, що прийняла звернення по телефону (лише для звернень, які надійшли за допомогою засобів телефонного зв’язку)</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ind w:left="1160" w:firstLine="0"/>
              <w:contextualSpacing w:val="0"/>
              <w:rPr/>
            </w:pPr>
            <w:r w:rsidDel="00000000" w:rsidR="00000000" w:rsidRPr="00000000">
              <w:rPr>
                <w:rtl w:val="0"/>
              </w:rPr>
              <w:t xml:space="preserve"> </w:t>
            </w:r>
          </w:p>
        </w:tc>
      </w:tr>
    </w:tbl>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